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F4" w:rsidRPr="00BE4AF4" w:rsidRDefault="00BE4AF4" w:rsidP="00BE4AF4">
      <w:pPr>
        <w:spacing w:before="100" w:beforeAutospacing="1" w:after="100" w:afterAutospacing="1" w:line="240" w:lineRule="auto"/>
        <w:ind w:firstLine="708"/>
        <w:rPr>
          <w:rFonts w:eastAsia="Times New Roman" w:cstheme="minorHAnsi"/>
          <w:b/>
          <w:bCs/>
          <w:sz w:val="36"/>
          <w:szCs w:val="36"/>
          <w:lang w:eastAsia="hr-HR"/>
        </w:rPr>
      </w:pPr>
      <w:r w:rsidRPr="00BE4AF4">
        <w:rPr>
          <w:rFonts w:eastAsia="Times New Roman" w:cstheme="minorHAnsi"/>
          <w:b/>
          <w:bCs/>
          <w:sz w:val="36"/>
          <w:szCs w:val="36"/>
          <w:lang w:eastAsia="hr-HR"/>
        </w:rPr>
        <w:t>Poštovani roditelji,</w:t>
      </w:r>
    </w:p>
    <w:p w:rsidR="00BE4AF4" w:rsidRDefault="0023760D" w:rsidP="00BE4AF4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hr-HR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d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 xml:space="preserve">a biste svoje dijete upisali u I. razred Osnovne škole Vrbani potrebno je 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prije upisa utvrditi psihofizičko stanje djeteta na sljedeći način:</w:t>
      </w:r>
      <w:r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 xml:space="preserve"> </w:t>
      </w:r>
      <w:r w:rsidR="00D26A16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br/>
      </w:r>
      <w:r w:rsidR="00823CF5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p</w:t>
      </w:r>
      <w:r w:rsidR="00D26A16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otrebno je n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azvati školsku liječnicu</w:t>
      </w:r>
      <w:r w:rsidR="00BE4AF4" w:rsidRPr="00BE4AF4">
        <w:rPr>
          <w:rFonts w:eastAsia="Times New Roman" w:cstheme="minorHAnsi"/>
          <w:b/>
          <w:bCs/>
          <w:sz w:val="27"/>
          <w:szCs w:val="27"/>
          <w:lang w:eastAsia="hr-HR"/>
        </w:rPr>
        <w:t>, dr. Željku Štimac - Miling 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u Ambulantu za školsku medicinu, Gajevo, Jarun, H. Macanovića 2,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br/>
        <w:t>tel</w:t>
      </w:r>
      <w:r w:rsidR="00BE4AF4" w:rsidRPr="00BE4AF4">
        <w:rPr>
          <w:rFonts w:eastAsia="Times New Roman" w:cstheme="minorHAnsi"/>
          <w:b/>
          <w:bCs/>
          <w:sz w:val="27"/>
          <w:szCs w:val="27"/>
          <w:lang w:eastAsia="hr-HR"/>
        </w:rPr>
        <w:t>. 3831- 541 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i dogovoriti termin sistematskog pregleda.</w:t>
      </w:r>
      <w:r w:rsidR="00BE4AF4"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br/>
        <w:t>( Liječnica radi parnim datumima prije podne.)</w:t>
      </w:r>
    </w:p>
    <w:p w:rsidR="00BE4AF4" w:rsidRDefault="00BE4AF4" w:rsidP="00BE4AF4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hr-HR"/>
        </w:rPr>
      </w:pPr>
      <w:r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2. Po dogovoru s liječnicom doći na razgovor u Školu s djetetom na procjenu spremnosti za školu, </w:t>
      </w:r>
      <w:r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 xml:space="preserve"> </w:t>
      </w:r>
      <w:r w:rsidRPr="00BE4AF4">
        <w:rPr>
          <w:rFonts w:eastAsia="Times New Roman" w:cstheme="minorHAnsi"/>
          <w:b/>
          <w:bCs/>
          <w:color w:val="000000"/>
          <w:sz w:val="27"/>
          <w:szCs w:val="27"/>
          <w:lang w:eastAsia="hr-HR"/>
        </w:rPr>
        <w:t>u jednom od predloženih termina:</w:t>
      </w:r>
    </w:p>
    <w:p w:rsidR="00BE4AF4" w:rsidRPr="00BE4AF4" w:rsidRDefault="00BE4AF4" w:rsidP="00BE4AF4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hr-HR"/>
        </w:rPr>
      </w:pPr>
    </w:p>
    <w:tbl>
      <w:tblPr>
        <w:tblW w:w="4186" w:type="pct"/>
        <w:jc w:val="center"/>
        <w:tblCellSpacing w:w="15" w:type="dxa"/>
        <w:tblInd w:w="-19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5298"/>
      </w:tblGrid>
      <w:tr w:rsidR="00BE4AF4" w:rsidRPr="00BE4AF4" w:rsidTr="002267CD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E4AF4" w:rsidRPr="00BE4AF4" w:rsidRDefault="00BE4AF4" w:rsidP="00BE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4A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E4AF4" w:rsidRPr="00BE4AF4" w:rsidRDefault="00BE4AF4" w:rsidP="00BE4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</w:t>
            </w:r>
          </w:p>
        </w:tc>
      </w:tr>
      <w:tr w:rsidR="002267CD" w:rsidRPr="00BE4AF4" w:rsidTr="002267CD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267CD" w:rsidRPr="00BE4AF4" w:rsidRDefault="00C15618" w:rsidP="00F8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.4.201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utor</w:t>
            </w:r>
            <w:r w:rsidR="0022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267CD" w:rsidRPr="00BE4AF4" w:rsidRDefault="002267CD" w:rsidP="0022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267CD" w:rsidRPr="00BE4AF4" w:rsidTr="002267CD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267CD" w:rsidRPr="00BE4AF4" w:rsidRDefault="00C15618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 w:rsidR="0022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267CD" w:rsidRPr="00BE4AF4" w:rsidRDefault="00817037" w:rsidP="0022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267CD" w:rsidRPr="00BE4AF4" w:rsidTr="002267CD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267CD" w:rsidRPr="00BE4AF4" w:rsidRDefault="00C15618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9.4.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 utor</w:t>
            </w:r>
            <w:r w:rsidR="00226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267CD" w:rsidRPr="00BE4AF4" w:rsidRDefault="00817037" w:rsidP="0022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267CD" w:rsidRPr="00BE4AF4" w:rsidTr="002267CD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267CD" w:rsidRPr="00BE4AF4" w:rsidRDefault="00C15618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="002267CD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 w:rsidR="0039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267CD" w:rsidRPr="00BE4AF4" w:rsidRDefault="00817037" w:rsidP="00226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F8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>16</w:t>
            </w:r>
            <w:r w:rsidR="00F8520F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>.4.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 xml:space="preserve">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.4.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BE4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14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17037" w:rsidRPr="00BE4AF4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17037" w:rsidRPr="002267CD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28.5.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17037" w:rsidRPr="002267CD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30.5.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17037" w:rsidRPr="002267CD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4.6.2018.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17037" w:rsidRPr="002267CD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6.6.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četvrtak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817037" w:rsidRPr="00BE4AF4" w:rsidTr="00F15A83">
        <w:trPr>
          <w:tblCellSpacing w:w="15" w:type="dxa"/>
          <w:jc w:val="center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817037" w:rsidRDefault="00817037" w:rsidP="00EC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11.6.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F8520F"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</w:t>
            </w:r>
            <w:r w:rsidR="00F85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17037" w:rsidRDefault="00817037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</w:tbl>
    <w:p w:rsidR="00BE4AF4" w:rsidRPr="00BE4AF4" w:rsidRDefault="00BE4AF4" w:rsidP="00BE4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BE4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br/>
      </w:r>
      <w:r w:rsidR="00823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(</w:t>
      </w:r>
      <w:r w:rsidRPr="00BE4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U slučaju da vam niti jedan od predloženih termina ne odgovara, molimo vas, obratite se pedagogu/psihologu škole na tel. </w:t>
      </w:r>
      <w:r w:rsidR="00823CF5">
        <w:rPr>
          <w:rFonts w:ascii="Times New Roman" w:eastAsia="Times New Roman" w:hAnsi="Times New Roman" w:cs="Times New Roman"/>
          <w:b/>
          <w:bCs/>
          <w:color w:val="990099"/>
          <w:sz w:val="27"/>
          <w:szCs w:val="27"/>
          <w:lang w:eastAsia="hr-HR"/>
        </w:rPr>
        <w:t>3872 – 659/3).</w:t>
      </w:r>
    </w:p>
    <w:p w:rsidR="00823CF5" w:rsidRDefault="00823CF5">
      <w:pPr>
        <w:rPr>
          <w:sz w:val="28"/>
          <w:szCs w:val="28"/>
        </w:rPr>
      </w:pPr>
    </w:p>
    <w:p w:rsidR="0023760D" w:rsidRPr="00823CF5" w:rsidRDefault="00EC6FDB">
      <w:pPr>
        <w:rPr>
          <w:sz w:val="28"/>
          <w:szCs w:val="28"/>
        </w:rPr>
      </w:pPr>
      <w:r w:rsidRPr="00E55F19">
        <w:rPr>
          <w:sz w:val="28"/>
          <w:szCs w:val="28"/>
        </w:rPr>
        <w:t xml:space="preserve">Postupak utvrđivanja psihfizičkog stanja djece radi upisa u prvi razred osnovne škole provodi se u osnovnoj školi kojoj dijete pripada prema upisnom području. </w:t>
      </w:r>
    </w:p>
    <w:p w:rsidR="007452A3" w:rsidRDefault="00EC6FDB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 w:rsidRPr="0023760D">
        <w:rPr>
          <w:b/>
          <w:sz w:val="28"/>
          <w:szCs w:val="28"/>
        </w:rPr>
        <w:t>Upisno područje Osnovne škole Vrbani čine ulice:</w:t>
      </w:r>
      <w:r w:rsidRPr="00E55F19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Cirkovljanska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Horvaćanska cesta - parni od broja 148 do 166 i neparni od broja 79 do kraja,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Ul. Hrvatskog sokola - neparni od broja 1 do 67 i parni od broja 2 do 68,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Hrženička,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Kuzminečka - parni od broja 2 do 6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Lipanjska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Listopadska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Lopatinečka osim brojava 19, 48, 50 i 52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Ožujska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Rudeška cesta - neparni od broja 89 do 169 i parni od broja 142 do 232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Rujanska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Siječanjska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Srpanjska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Travanjska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  <w:r w:rsidRPr="00EC6FDB">
        <w:rPr>
          <w:rStyle w:val="Strong"/>
          <w:b w:val="0"/>
          <w:color w:val="000000"/>
          <w:sz w:val="27"/>
          <w:szCs w:val="27"/>
          <w:shd w:val="clear" w:color="auto" w:fill="FFFFFF"/>
        </w:rPr>
        <w:t>Vrbani </w:t>
      </w:r>
      <w:r w:rsidRPr="00EC6FDB">
        <w:rPr>
          <w:b/>
          <w:bCs/>
          <w:color w:val="000000"/>
          <w:sz w:val="27"/>
          <w:szCs w:val="27"/>
          <w:shd w:val="clear" w:color="auto" w:fill="FFFFFF"/>
        </w:rPr>
        <w:br/>
      </w:r>
    </w:p>
    <w:p w:rsidR="00E55F19" w:rsidRPr="00E55F19" w:rsidRDefault="00E55F19">
      <w:pPr>
        <w:rPr>
          <w:rStyle w:val="Strong"/>
          <w:color w:val="000000"/>
          <w:sz w:val="27"/>
          <w:szCs w:val="27"/>
          <w:u w:val="single"/>
          <w:shd w:val="clear" w:color="auto" w:fill="FFFFFF"/>
        </w:rPr>
      </w:pPr>
      <w:r w:rsidRPr="00E55F19">
        <w:rPr>
          <w:rStyle w:val="Strong"/>
          <w:color w:val="000000"/>
          <w:sz w:val="27"/>
          <w:szCs w:val="27"/>
          <w:u w:val="single"/>
          <w:shd w:val="clear" w:color="auto" w:fill="FFFFFF"/>
        </w:rPr>
        <w:t>Prijevremeni upis</w:t>
      </w:r>
    </w:p>
    <w:p w:rsidR="00E55F19" w:rsidRDefault="00E55F19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Za dijete koje će do kraja tekuće godine (2018.) navršiti šest godina, a nije školski obveznik, roditelj može najkasnije do </w:t>
      </w:r>
      <w:r w:rsidRPr="00E55F19">
        <w:rPr>
          <w:rStyle w:val="Strong"/>
          <w:color w:val="000000"/>
          <w:sz w:val="27"/>
          <w:szCs w:val="27"/>
          <w:u w:val="single"/>
          <w:shd w:val="clear" w:color="auto" w:fill="FFFFFF"/>
        </w:rPr>
        <w:t>31. ožujka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  tekuće godine podnijeti zahtjev Uredu za uvrštavanje djeteta u popis školskih obveznika.</w:t>
      </w:r>
      <w:r w:rsidR="0023760D"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 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Za dijete koje je bilo uključeno u predškolski program roditelj dostavlja osim zahtjeva i mišljenje stručnog tima predškolske ustanove o psihofizičkom stanju djeteta.</w:t>
      </w:r>
    </w:p>
    <w:p w:rsidR="00E55F19" w:rsidRDefault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Z</w:t>
      </w:r>
      <w:r w:rsidR="00E55F19"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a djecu koja se prijevremeno upisuju u 1. 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r</w:t>
      </w:r>
      <w:r w:rsidR="00E55F19"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azred obvezno se provodi psihološko testiranje u osnovnoj školi kojoj dijete pripada 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prema upisnom području.</w:t>
      </w:r>
    </w:p>
    <w:p w:rsidR="00216F87" w:rsidRDefault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Prijevremeni upis odobrit će Stručno povjerenstvo Ureda djetetu na temelju rezultata psihološkog testiranja i mišljenja Stručnog povjerenstva škole.</w:t>
      </w:r>
    </w:p>
    <w:p w:rsidR="00D26A16" w:rsidRDefault="00D26A16">
      <w:pPr>
        <w:rPr>
          <w:rStyle w:val="Strong"/>
          <w:color w:val="000000"/>
          <w:sz w:val="27"/>
          <w:szCs w:val="27"/>
          <w:u w:val="single"/>
          <w:shd w:val="clear" w:color="auto" w:fill="FFFFFF"/>
        </w:rPr>
      </w:pPr>
    </w:p>
    <w:p w:rsidR="00D26A16" w:rsidRDefault="00D26A16">
      <w:pPr>
        <w:rPr>
          <w:rStyle w:val="Strong"/>
          <w:color w:val="000000"/>
          <w:sz w:val="27"/>
          <w:szCs w:val="27"/>
          <w:u w:val="single"/>
          <w:shd w:val="clear" w:color="auto" w:fill="FFFFFF"/>
        </w:rPr>
      </w:pPr>
    </w:p>
    <w:p w:rsidR="00216F87" w:rsidRDefault="00216F87">
      <w:pPr>
        <w:rPr>
          <w:rStyle w:val="Strong"/>
          <w:color w:val="000000"/>
          <w:sz w:val="27"/>
          <w:szCs w:val="27"/>
          <w:u w:val="single"/>
          <w:shd w:val="clear" w:color="auto" w:fill="FFFFFF"/>
        </w:rPr>
      </w:pPr>
      <w:r w:rsidRPr="00216F87">
        <w:rPr>
          <w:rStyle w:val="Strong"/>
          <w:color w:val="000000"/>
          <w:sz w:val="27"/>
          <w:szCs w:val="27"/>
          <w:u w:val="single"/>
          <w:shd w:val="clear" w:color="auto" w:fill="FFFFFF"/>
        </w:rPr>
        <w:t>Odgoda upisa u školu</w:t>
      </w:r>
    </w:p>
    <w:p w:rsidR="00216F87" w:rsidRDefault="00216F87" w:rsidP="00216F87">
      <w:pPr>
        <w:ind w:firstLine="708"/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 w:rsidRPr="00216F87"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Odgoda upisa u prvi razred 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osnovne škole može se odobriti samo za jednu školsku godinu. </w:t>
      </w:r>
    </w:p>
    <w:p w:rsidR="00216F87" w:rsidRDefault="00216F87" w:rsidP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   Stručno povjerenstvo Škole predložit će Stručnom povjerenstvu Ureda odgodu upisa u 1. razred ako na temelju neposrednog pregleda i dostavljene dokumentacije o psihofizičkom stanju djeteta procijeni da bi odgoda upisa pozitivno utjecala na </w:t>
      </w:r>
      <w:r w:rsidR="0023760D">
        <w:rPr>
          <w:rStyle w:val="Strong"/>
          <w:b w:val="0"/>
          <w:color w:val="000000"/>
          <w:sz w:val="27"/>
          <w:szCs w:val="27"/>
          <w:shd w:val="clear" w:color="auto" w:fill="FFFFFF"/>
        </w:rPr>
        <w:t>njegov</w:t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 xml:space="preserve"> psihofizički razvoj.</w:t>
      </w:r>
    </w:p>
    <w:p w:rsidR="002267CD" w:rsidRDefault="002267CD" w:rsidP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Dijete kojem je odgođen upis u prvi razred osnovne škole sljedeće će godine biti ponovo uvršteno u popis školskih obveznika radi ponovnog utvrđivanja njegova psihofizičkog stanja. Za to vrijeme (ako to dopušta njegovo zdravstveno stanje) obvezno je pohađati program predškole.</w:t>
      </w:r>
    </w:p>
    <w:p w:rsidR="002267CD" w:rsidRDefault="002267CD" w:rsidP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Na temelju mišljenja Stručnog povjerenstva Ureda, Ured donosi rješenje o prijevremnom upisu ili odgodi upisa u prvi razred osnovne škole koje se dostavlja roditelju.</w:t>
      </w:r>
    </w:p>
    <w:p w:rsidR="002267CD" w:rsidRDefault="002267CD" w:rsidP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>Na rješenje roditelj ima pravo žalbe ministarstvu nadležnom za obrazovanje putem Ureda.</w:t>
      </w:r>
    </w:p>
    <w:p w:rsidR="0023760D" w:rsidRDefault="0023760D" w:rsidP="00216F87">
      <w:pPr>
        <w:rPr>
          <w:rStyle w:val="Strong"/>
          <w:b w:val="0"/>
          <w:color w:val="000000"/>
          <w:sz w:val="27"/>
          <w:szCs w:val="27"/>
          <w:shd w:val="clear" w:color="auto" w:fill="FFFFFF"/>
        </w:rPr>
      </w:pPr>
    </w:p>
    <w:p w:rsidR="0023760D" w:rsidRPr="00216F87" w:rsidRDefault="0023760D" w:rsidP="00216F87">
      <w:pPr>
        <w:rPr>
          <w:b/>
        </w:rPr>
      </w:pP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</w:r>
      <w:r>
        <w:rPr>
          <w:rStyle w:val="Strong"/>
          <w:b w:val="0"/>
          <w:color w:val="000000"/>
          <w:sz w:val="27"/>
          <w:szCs w:val="27"/>
          <w:shd w:val="clear" w:color="auto" w:fill="FFFFFF"/>
        </w:rPr>
        <w:tab/>
        <w:t>Stručna služba Škole</w:t>
      </w:r>
    </w:p>
    <w:sectPr w:rsidR="0023760D" w:rsidRPr="0021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4"/>
    <w:rsid w:val="0021649D"/>
    <w:rsid w:val="00216F87"/>
    <w:rsid w:val="002267CD"/>
    <w:rsid w:val="0023760D"/>
    <w:rsid w:val="00257CF6"/>
    <w:rsid w:val="00392E4A"/>
    <w:rsid w:val="00586949"/>
    <w:rsid w:val="0068015C"/>
    <w:rsid w:val="007452A3"/>
    <w:rsid w:val="00817037"/>
    <w:rsid w:val="00823CF5"/>
    <w:rsid w:val="00912AEA"/>
    <w:rsid w:val="0093228E"/>
    <w:rsid w:val="00B30BD4"/>
    <w:rsid w:val="00BE4AF4"/>
    <w:rsid w:val="00C15618"/>
    <w:rsid w:val="00D26A16"/>
    <w:rsid w:val="00D96052"/>
    <w:rsid w:val="00E55F19"/>
    <w:rsid w:val="00EC6FD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6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C6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</cp:lastModifiedBy>
  <cp:revision>2</cp:revision>
  <cp:lastPrinted>2019-02-18T12:53:00Z</cp:lastPrinted>
  <dcterms:created xsi:type="dcterms:W3CDTF">2019-02-24T21:49:00Z</dcterms:created>
  <dcterms:modified xsi:type="dcterms:W3CDTF">2019-02-24T21:49:00Z</dcterms:modified>
</cp:coreProperties>
</file>